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Roboto" w:cs="Roboto" w:eastAsia="Roboto" w:hAnsi="Roboto"/>
          <w:b w:val="1"/>
          <w:bCs w:val="1"/>
        </w:rPr>
      </w:pPr>
      <w:r w:rsidDel="00000000" w:rsidR="00000000" w:rsidRPr="00000000">
        <w:rPr>
          <w:rFonts w:ascii="Roboto" w:cs="Roboto" w:eastAsia="Roboto" w:hAnsi="Roboto"/>
          <w:b w:val="1"/>
          <w:bCs w:val="1"/>
          <w:rtl w:val="0"/>
        </w:rPr>
        <w:t xml:space="preserve">Name or GOOS Component:</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40" w:lineRule="auto"/>
              <w:rPr>
                <w:rFonts w:ascii="Roboto" w:cs="Roboto" w:eastAsia="Roboto" w:hAnsi="Roboto"/>
              </w:rPr>
            </w:pPr>
            <w:r w:rsidDel="00000000" w:rsidR="00000000" w:rsidRPr="00000000">
              <w:rPr>
                <w:rFonts w:ascii="Roboto" w:cs="Roboto" w:eastAsia="Roboto" w:hAnsi="Roboto"/>
                <w:rtl w:val="0"/>
              </w:rPr>
              <w:t xml:space="preserve">WMO (WIGOS and GCOS perspective)</w:t>
            </w:r>
          </w:p>
        </w:tc>
      </w:tr>
    </w:tbl>
    <w:p w:rsidR="00000000" w:rsidDel="00000000" w:rsidP="00000000" w:rsidRDefault="00000000" w:rsidRPr="00000000" w14:paraId="00000003">
      <w:pPr>
        <w:rPr>
          <w:rFonts w:ascii="Roboto" w:cs="Roboto" w:eastAsia="Roboto" w:hAnsi="Roboto"/>
        </w:rPr>
      </w:pPr>
      <w:r w:rsidDel="00000000" w:rsidR="00000000" w:rsidRPr="00000000">
        <w:rPr>
          <w:rtl w:val="0"/>
        </w:rPr>
      </w:r>
    </w:p>
    <w:p w:rsidR="00000000" w:rsidDel="00000000" w:rsidP="00000000" w:rsidRDefault="00000000" w:rsidRPr="00000000" w14:paraId="00000004">
      <w:pPr>
        <w:rPr>
          <w:rFonts w:ascii="Roboto" w:cs="Roboto" w:eastAsia="Roboto" w:hAnsi="Roboto"/>
          <w:b w:val="1"/>
          <w:bCs w:val="1"/>
        </w:rPr>
      </w:pPr>
      <w:r w:rsidDel="00000000" w:rsidR="00000000" w:rsidRPr="00000000">
        <w:rPr>
          <w:rFonts w:ascii="Roboto" w:cs="Roboto" w:eastAsia="Roboto" w:hAnsi="Roboto"/>
          <w:b w:val="1"/>
          <w:bCs w:val="1"/>
          <w:rtl w:val="0"/>
        </w:rPr>
        <w:t xml:space="preserve">Report submitted by:</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5">
            <w:pPr>
              <w:widowControl w:val="0"/>
              <w:spacing w:line="240" w:lineRule="auto"/>
              <w:rPr>
                <w:rFonts w:ascii="Roboto" w:cs="Roboto" w:eastAsia="Roboto" w:hAnsi="Roboto"/>
              </w:rPr>
            </w:pPr>
            <w:r w:rsidDel="00000000" w:rsidR="00000000" w:rsidRPr="00000000">
              <w:rPr>
                <w:rFonts w:ascii="Roboto" w:cs="Roboto" w:eastAsia="Roboto" w:hAnsi="Roboto"/>
                <w:rtl w:val="0"/>
              </w:rPr>
              <w:t xml:space="preserve">Albert Fischer</w:t>
            </w:r>
          </w:p>
        </w:tc>
      </w:tr>
    </w:tbl>
    <w:p w:rsidR="00000000" w:rsidDel="00000000" w:rsidP="00000000" w:rsidRDefault="00000000" w:rsidRPr="00000000" w14:paraId="00000006">
      <w:pPr>
        <w:rPr>
          <w:rFonts w:ascii="Roboto" w:cs="Roboto" w:eastAsia="Roboto" w:hAnsi="Roboto"/>
        </w:rPr>
      </w:pPr>
      <w:r w:rsidDel="00000000" w:rsidR="00000000" w:rsidRPr="00000000">
        <w:rPr>
          <w:rtl w:val="0"/>
        </w:rPr>
      </w:r>
    </w:p>
    <w:p w:rsidR="00000000" w:rsidDel="00000000" w:rsidP="00000000" w:rsidRDefault="00000000" w:rsidRPr="00000000" w14:paraId="00000007">
      <w:pPr>
        <w:rPr>
          <w:rFonts w:ascii="Roboto" w:cs="Roboto" w:eastAsia="Roboto" w:hAnsi="Roboto"/>
          <w:b w:val="1"/>
          <w:bCs w:val="1"/>
        </w:rPr>
      </w:pPr>
      <w:r w:rsidDel="00000000" w:rsidR="00000000" w:rsidRPr="00000000">
        <w:rPr>
          <w:rFonts w:ascii="Roboto" w:cs="Roboto" w:eastAsia="Roboto" w:hAnsi="Roboto"/>
          <w:b w:val="1"/>
          <w:bCs w:val="1"/>
          <w:rtl w:val="0"/>
        </w:rPr>
        <w:t xml:space="preserve">Date submitted:</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8">
            <w:pPr>
              <w:widowControl w:val="0"/>
              <w:spacing w:line="240" w:lineRule="auto"/>
              <w:rPr>
                <w:rFonts w:ascii="Roboto" w:cs="Roboto" w:eastAsia="Roboto" w:hAnsi="Roboto"/>
              </w:rPr>
            </w:pPr>
            <w:r w:rsidDel="00000000" w:rsidR="00000000" w:rsidRPr="00000000">
              <w:rPr>
                <w:rFonts w:ascii="Roboto" w:cs="Roboto" w:eastAsia="Roboto" w:hAnsi="Roboto"/>
                <w:rtl w:val="0"/>
              </w:rPr>
              <w:t xml:space="preserve">25.03.2026</w:t>
            </w:r>
          </w:p>
        </w:tc>
      </w:tr>
    </w:tbl>
    <w:p w:rsidR="00000000" w:rsidDel="00000000" w:rsidP="00000000" w:rsidRDefault="00000000" w:rsidRPr="00000000" w14:paraId="00000009">
      <w:pPr>
        <w:rPr>
          <w:rFonts w:ascii="Roboto" w:cs="Roboto" w:eastAsia="Roboto" w:hAnsi="Roboto"/>
        </w:rPr>
      </w:pPr>
      <w:r w:rsidDel="00000000" w:rsidR="00000000" w:rsidRPr="00000000">
        <w:rPr>
          <w:rtl w:val="0"/>
        </w:rPr>
      </w:r>
    </w:p>
    <w:p w:rsidR="00000000" w:rsidDel="00000000" w:rsidP="00000000" w:rsidRDefault="00000000" w:rsidRPr="00000000" w14:paraId="0000000A">
      <w:pPr>
        <w:rPr>
          <w:rFonts w:ascii="Roboto" w:cs="Roboto" w:eastAsia="Roboto" w:hAnsi="Roboto"/>
          <w:sz w:val="30"/>
          <w:szCs w:val="3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-90482</wp:posOffset>
                </wp:positionH>
                <wp:positionV relativeFrom="paragraph">
                  <wp:posOffset>-1586</wp:posOffset>
                </wp:positionV>
                <wp:extent cx="6400800" cy="50800"/>
                <wp:effectExtent b="0" l="0" r="0" t="0"/>
                <wp:wrapNone/>
                <wp:docPr id="328490223" name=""/>
                <a:graphic>
                  <a:graphicData uri="http://schemas.microsoft.com/office/word/2010/wordprocessingShape">
                    <wps:wsp>
                      <wps:cNvCnPr/>
                      <wps:spPr>
                        <a:xfrm>
                          <a:off x="2164650" y="3776190"/>
                          <a:ext cx="6362700" cy="7620"/>
                        </a:xfrm>
                        <a:prstGeom prst="straightConnector1">
                          <a:avLst/>
                        </a:prstGeom>
                        <a:noFill/>
                        <a:ln cap="flat" cmpd="sng" w="9525">
                          <a:solidFill>
                            <a:srgbClr val="184596"/>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-90482</wp:posOffset>
                </wp:positionH>
                <wp:positionV relativeFrom="paragraph">
                  <wp:posOffset>-1586</wp:posOffset>
                </wp:positionV>
                <wp:extent cx="6400800" cy="50800"/>
                <wp:effectExtent b="0" l="0" r="0" t="0"/>
                <wp:wrapNone/>
                <wp:docPr id="32849022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400800" cy="50800"/>
                        </a:xfrm>
                        <a:prstGeom prst="rect"/>
                        <a:ln/>
                      </pic:spPr>
                    </pic:pic>
                  </a:graphicData>
                </a:graphic>
              </wp:anchor>
            </w:drawing>
          </mc:Fallback>
        </mc:AlternateContent>
      </w:r>
    </w:p>
    <w:p w:rsidR="00000000" w:rsidDel="00000000" w:rsidP="00000000" w:rsidRDefault="00000000" w:rsidRPr="00000000" w14:paraId="0000000B">
      <w:pPr>
        <w:rPr>
          <w:rFonts w:ascii="Roboto" w:cs="Roboto" w:eastAsia="Roboto" w:hAnsi="Roboto"/>
          <w:sz w:val="30"/>
          <w:szCs w:val="30"/>
        </w:rPr>
      </w:pPr>
      <w:r w:rsidDel="00000000" w:rsidR="00000000" w:rsidRPr="00000000">
        <w:rPr>
          <w:rtl w:val="0"/>
        </w:rPr>
      </w:r>
    </w:p>
    <w:p w:rsidR="00000000" w:rsidDel="00000000" w:rsidP="00000000" w:rsidRDefault="00000000" w:rsidRPr="00000000" w14:paraId="0000000C">
      <w:pPr>
        <w:spacing w:line="240" w:lineRule="auto"/>
        <w:rPr>
          <w:rFonts w:ascii="Roboto" w:cs="Roboto" w:eastAsia="Roboto" w:hAnsi="Roboto"/>
          <w:b w:val="1"/>
          <w:bCs w:val="1"/>
          <w:color w:val="184596"/>
          <w:sz w:val="30"/>
          <w:szCs w:val="30"/>
        </w:rPr>
      </w:pPr>
      <w:r w:rsidDel="00000000" w:rsidR="00000000" w:rsidRPr="00000000">
        <w:rPr>
          <w:rFonts w:ascii="Roboto" w:cs="Roboto" w:eastAsia="Roboto" w:hAnsi="Roboto"/>
          <w:b w:val="1"/>
          <w:bCs w:val="1"/>
          <w:color w:val="184596"/>
          <w:sz w:val="30"/>
          <w:szCs w:val="30"/>
          <w:rtl w:val="0"/>
        </w:rPr>
        <w:t xml:space="preserve">Considerations for the GOOS Reform proposal</w:t>
      </w:r>
    </w:p>
    <w:p w:rsidR="00000000" w:rsidDel="00000000" w:rsidP="00000000" w:rsidRDefault="00000000" w:rsidRPr="00000000" w14:paraId="0000000D">
      <w:pPr>
        <w:spacing w:line="240" w:lineRule="auto"/>
        <w:rPr>
          <w:rFonts w:ascii="Roboto" w:cs="Roboto" w:eastAsia="Roboto" w:hAnsi="Roboto"/>
          <w:b w:val="1"/>
          <w:bCs w:val="1"/>
          <w:color w:val="184596"/>
          <w:sz w:val="24"/>
          <w:szCs w:val="24"/>
        </w:rPr>
      </w:pPr>
      <w:r w:rsidDel="00000000" w:rsidR="00000000" w:rsidRPr="00000000">
        <w:rPr>
          <w:rFonts w:ascii="Roboto" w:cs="Roboto" w:eastAsia="Roboto" w:hAnsi="Roboto"/>
          <w:b w:val="1"/>
          <w:bCs w:val="1"/>
          <w:color w:val="184596"/>
          <w:sz w:val="24"/>
          <w:szCs w:val="24"/>
          <w:rtl w:val="0"/>
        </w:rPr>
        <w:t xml:space="preserve">Draft proposal: </w:t>
      </w:r>
      <w:hyperlink r:id="rId8">
        <w:r w:rsidDel="00000000" w:rsidR="00000000" w:rsidRPr="00000000">
          <w:rPr>
            <w:rFonts w:ascii="Roboto" w:cs="Roboto" w:eastAsia="Roboto" w:hAnsi="Roboto"/>
            <w:b w:val="1"/>
            <w:bCs w:val="1"/>
            <w:color w:val="1155cc"/>
            <w:sz w:val="24"/>
            <w:szCs w:val="24"/>
            <w:u w:val="single"/>
            <w:rtl w:val="0"/>
          </w:rPr>
          <w:t xml:space="preserve">https://oceanexpert.org/document/37899</w:t>
        </w:r>
      </w:hyperlink>
      <w:r w:rsidDel="00000000" w:rsidR="00000000" w:rsidRPr="00000000">
        <w:rPr>
          <w:rFonts w:ascii="Roboto" w:cs="Roboto" w:eastAsia="Roboto" w:hAnsi="Roboto"/>
          <w:b w:val="1"/>
          <w:bCs w:val="1"/>
          <w:color w:val="184596"/>
          <w:sz w:val="24"/>
          <w:szCs w:val="24"/>
          <w:rtl w:val="0"/>
        </w:rPr>
        <w:t xml:space="preserve"> </w:t>
      </w:r>
    </w:p>
    <w:p w:rsidR="00000000" w:rsidDel="00000000" w:rsidP="00000000" w:rsidRDefault="00000000" w:rsidRPr="00000000" w14:paraId="0000000E">
      <w:pPr>
        <w:rPr>
          <w:rFonts w:ascii="Roboto" w:cs="Roboto" w:eastAsia="Roboto" w:hAnsi="Roboto"/>
          <w:color w:val="666666"/>
          <w:sz w:val="24"/>
          <w:szCs w:val="24"/>
        </w:rPr>
      </w:pPr>
      <w:r w:rsidDel="00000000" w:rsidR="00000000" w:rsidRPr="00000000">
        <w:rPr>
          <w:rtl w:val="0"/>
        </w:rPr>
      </w:r>
    </w:p>
    <w:p w:rsidR="00000000" w:rsidDel="00000000" w:rsidP="00000000" w:rsidRDefault="00000000" w:rsidRPr="00000000" w14:paraId="0000000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Mission, scope and accountability mechanism</w:t>
      </w:r>
    </w:p>
    <w:p w:rsidR="00000000" w:rsidDel="00000000" w:rsidP="00000000" w:rsidRDefault="00000000" w:rsidRPr="00000000" w14:paraId="00000010">
      <w:pPr>
        <w:widowControl w:val="0"/>
        <w:spacing w:line="240" w:lineRule="auto"/>
        <w:rPr>
          <w:rFonts w:ascii="Roboto" w:cs="Roboto" w:eastAsia="Roboto" w:hAnsi="Roboto"/>
          <w:b w:val="1"/>
          <w:bCs w:val="1"/>
        </w:rPr>
      </w:pPr>
      <w:r w:rsidDel="00000000" w:rsidR="00000000" w:rsidRPr="00000000">
        <w:rPr>
          <w:rFonts w:ascii="Roboto" w:cs="Roboto" w:eastAsia="Roboto" w:hAnsi="Roboto"/>
          <w:sz w:val="24"/>
          <w:szCs w:val="24"/>
          <w:rtl w:val="0"/>
        </w:rPr>
        <w:t xml:space="preserve">(slides 7 - 10 and 24 - 26)</w:t>
      </w:r>
      <w:r w:rsidDel="00000000" w:rsidR="00000000" w:rsidRPr="00000000">
        <w:rPr>
          <w:rtl w:val="0"/>
        </w:rPr>
      </w:r>
    </w:p>
    <w:tbl>
      <w:tblPr>
        <w:tblStyle w:val="Table4"/>
        <w:tblW w:w="9390.0" w:type="dxa"/>
        <w:jc w:val="left"/>
        <w:tblInd w:w="-3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90"/>
        <w:tblGridChange w:id="0">
          <w:tblGrid>
            <w:gridCol w:w="939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11">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What are your concerns regarding the reform proposal on mission, scope and accountability mechanism?</w:t>
            </w:r>
          </w:p>
          <w:p w:rsidR="00000000" w:rsidDel="00000000" w:rsidP="00000000" w:rsidRDefault="00000000" w:rsidRPr="00000000" w14:paraId="00000012">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13">
            <w:pPr>
              <w:rPr>
                <w:rFonts w:ascii="Roboto" w:cs="Roboto" w:eastAsia="Roboto" w:hAnsi="Roboto"/>
              </w:rPr>
            </w:pPr>
            <w:r w:rsidDel="00000000" w:rsidR="00000000" w:rsidRPr="00000000">
              <w:rPr>
                <w:rFonts w:ascii="Roboto" w:cs="Roboto" w:eastAsia="Roboto" w:hAnsi="Roboto"/>
                <w:rtl w:val="0"/>
              </w:rPr>
              <w:t xml:space="preserve">Slide 8 appropriately captures in the text regarding the purpose part of the mission statement the collective of WMO Members as user in stating “Ensure… data are ultimately transformed into actionable insights…advancing the… weather, and climate communities.” However, this recognition of global ocean observations contribution to weather prediction and early warning, to climate indicators and reporting, and therefore to inform climate policy, is missing from much of the rest of the text. This limits the understanding of the users of GOOS to “ocean-based users” while in fact the user community is larger and connecting to them can help build understanding of the value of GOOS.</w:t>
            </w:r>
          </w:p>
          <w:p w:rsidR="00000000" w:rsidDel="00000000" w:rsidP="00000000" w:rsidRDefault="00000000" w:rsidRPr="00000000" w14:paraId="00000014">
            <w:pPr>
              <w:rPr>
                <w:rFonts w:ascii="Roboto" w:cs="Roboto" w:eastAsia="Roboto" w:hAnsi="Roboto"/>
              </w:rPr>
            </w:pPr>
            <w:r w:rsidDel="00000000" w:rsidR="00000000" w:rsidRPr="00000000">
              <w:rPr>
                <w:rtl w:val="0"/>
              </w:rPr>
            </w:r>
          </w:p>
          <w:p w:rsidR="00000000" w:rsidDel="00000000" w:rsidP="00000000" w:rsidRDefault="00000000" w:rsidRPr="00000000" w14:paraId="00000015">
            <w:pPr>
              <w:rPr>
                <w:rFonts w:ascii="Roboto" w:cs="Roboto" w:eastAsia="Roboto" w:hAnsi="Roboto"/>
              </w:rPr>
            </w:pPr>
            <w:r w:rsidDel="00000000" w:rsidR="00000000" w:rsidRPr="00000000">
              <w:rPr>
                <w:rFonts w:ascii="Roboto" w:cs="Roboto" w:eastAsia="Roboto" w:hAnsi="Roboto"/>
                <w:rtl w:val="0"/>
              </w:rPr>
              <w:t xml:space="preserve">I don’t think the characterization of what GOOS brings to ocean observing data providers (slide 10) is correct. The providers of ocean data want to understand their users, show that they are having impact and providing value, and therefore argue for continued funding. This is not captured. Again slide 10 has a narrow definition of ocean observing data users.</w:t>
            </w:r>
          </w:p>
          <w:p w:rsidR="00000000" w:rsidDel="00000000" w:rsidP="00000000" w:rsidRDefault="00000000" w:rsidRPr="00000000" w14:paraId="00000016">
            <w:pPr>
              <w:rPr>
                <w:rFonts w:ascii="Roboto" w:cs="Roboto" w:eastAsia="Roboto" w:hAnsi="Roboto"/>
              </w:rPr>
            </w:pPr>
            <w:r w:rsidDel="00000000" w:rsidR="00000000" w:rsidRPr="00000000">
              <w:rPr>
                <w:rtl w:val="0"/>
              </w:rPr>
            </w:r>
          </w:p>
          <w:p w:rsidR="00000000" w:rsidDel="00000000" w:rsidP="00000000" w:rsidRDefault="00000000" w:rsidRPr="00000000" w14:paraId="00000017">
            <w:pPr>
              <w:rPr>
                <w:rFonts w:ascii="Roboto" w:cs="Roboto" w:eastAsia="Roboto" w:hAnsi="Roboto"/>
              </w:rPr>
            </w:pPr>
            <w:r w:rsidDel="00000000" w:rsidR="00000000" w:rsidRPr="00000000">
              <w:rPr>
                <w:rFonts w:ascii="Roboto" w:cs="Roboto" w:eastAsia="Roboto" w:hAnsi="Roboto"/>
                <w:rtl w:val="0"/>
              </w:rPr>
              <w:t xml:space="preserve">I find the accountability mechanism missing some steps in a theory of change. How will GOOS’s outputs from its different structures allow for / instigate action amongst Member States, who are ultimately responsible for implementing GOOS? Their implication and funding is needed to achieve the proposed key results.</w:t>
            </w:r>
          </w:p>
          <w:p w:rsidR="00000000" w:rsidDel="00000000" w:rsidP="00000000" w:rsidRDefault="00000000" w:rsidRPr="00000000" w14:paraId="00000018">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19">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If you don't agree with the proposal - what is the alternative? Why?</w:t>
            </w:r>
          </w:p>
          <w:p w:rsidR="00000000" w:rsidDel="00000000" w:rsidP="00000000" w:rsidRDefault="00000000" w:rsidRPr="00000000" w14:paraId="0000001A">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1B">
            <w:pPr>
              <w:rPr>
                <w:rFonts w:ascii="Roboto" w:cs="Roboto" w:eastAsia="Roboto" w:hAnsi="Roboto"/>
              </w:rPr>
            </w:pPr>
            <w:r w:rsidDel="00000000" w:rsidR="00000000" w:rsidRPr="00000000">
              <w:rPr>
                <w:rFonts w:ascii="Roboto" w:cs="Roboto" w:eastAsia="Roboto" w:hAnsi="Roboto"/>
                <w:rtl w:val="0"/>
              </w:rPr>
              <w:t xml:space="preserve">The theory of change would have to be worked out in more detail, to identify how outputs of GOOS structures (reports, requirements-setting exercises, tracking tools, best practice guides, agreements on data architecture and formats, advocacy, partner engagement, etc.) will enable / incite Member State and implementer action. WMO’s tools, like technical regulations, guidance material, requirements setting and impact-measuring exercises, tracking tools, and SOFF, can also be part of this universe.</w:t>
            </w:r>
          </w:p>
          <w:p w:rsidR="00000000" w:rsidDel="00000000" w:rsidP="00000000" w:rsidRDefault="00000000" w:rsidRPr="00000000" w14:paraId="0000001C">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1D">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 (including with respect to your component)</w:t>
            </w:r>
          </w:p>
          <w:p w:rsidR="00000000" w:rsidDel="00000000" w:rsidP="00000000" w:rsidRDefault="00000000" w:rsidRPr="00000000" w14:paraId="0000001E">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1F">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0">
            <w:pPr>
              <w:rPr>
                <w:rFonts w:ascii="Roboto" w:cs="Roboto" w:eastAsia="Roboto" w:hAnsi="Roboto"/>
                <w:b w:val="1"/>
                <w:bCs w:val="1"/>
              </w:rPr>
            </w:pPr>
            <w:r w:rsidDel="00000000" w:rsidR="00000000" w:rsidRPr="00000000">
              <w:rPr>
                <w:rtl w:val="0"/>
              </w:rPr>
            </w:r>
          </w:p>
        </w:tc>
      </w:tr>
    </w:tbl>
    <w:p w:rsidR="00000000" w:rsidDel="00000000" w:rsidP="00000000" w:rsidRDefault="00000000" w:rsidRPr="00000000" w14:paraId="00000021">
      <w:pPr>
        <w:rPr>
          <w:rFonts w:ascii="Roboto" w:cs="Roboto" w:eastAsia="Roboto" w:hAnsi="Roboto"/>
          <w:color w:val="666666"/>
          <w:sz w:val="24"/>
          <w:szCs w:val="24"/>
        </w:rPr>
      </w:pPr>
      <w:r w:rsidDel="00000000" w:rsidR="00000000" w:rsidRPr="00000000">
        <w:rPr>
          <w:rtl w:val="0"/>
        </w:rPr>
      </w:r>
    </w:p>
    <w:p w:rsidR="00000000" w:rsidDel="00000000" w:rsidP="00000000" w:rsidRDefault="00000000" w:rsidRPr="00000000" w14:paraId="00000022">
      <w:pPr>
        <w:widowControl w:val="0"/>
        <w:spacing w:line="240" w:lineRule="auto"/>
        <w:rPr>
          <w:rFonts w:ascii="Roboto" w:cs="Roboto" w:eastAsia="Roboto" w:hAnsi="Roboto"/>
          <w:sz w:val="24"/>
          <w:szCs w:val="24"/>
        </w:rPr>
      </w:pPr>
      <w:r w:rsidDel="00000000" w:rsidR="00000000" w:rsidRPr="00000000">
        <w:rPr>
          <w:rFonts w:ascii="Roboto" w:cs="Roboto" w:eastAsia="Roboto" w:hAnsi="Roboto"/>
          <w:b w:val="1"/>
          <w:bCs w:val="1"/>
          <w:sz w:val="24"/>
          <w:szCs w:val="24"/>
          <w:rtl w:val="0"/>
        </w:rPr>
        <w:t xml:space="preserve">Proposed structural changes nr. 1-5 </w:t>
      </w:r>
      <w:r w:rsidDel="00000000" w:rsidR="00000000" w:rsidRPr="00000000">
        <w:rPr>
          <w:rtl w:val="0"/>
        </w:rPr>
      </w:r>
    </w:p>
    <w:p w:rsidR="00000000" w:rsidDel="00000000" w:rsidP="00000000" w:rsidRDefault="00000000" w:rsidRPr="00000000" w14:paraId="00000023">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(slides 11 - 19)</w:t>
      </w:r>
      <w:r w:rsidDel="00000000" w:rsidR="00000000" w:rsidRPr="00000000">
        <w:rPr>
          <w:rtl w:val="0"/>
        </w:rPr>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24">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What are your concerns regarding the reform proposal on the first five structural changes?</w:t>
            </w:r>
          </w:p>
          <w:p w:rsidR="00000000" w:rsidDel="00000000" w:rsidP="00000000" w:rsidRDefault="00000000" w:rsidRPr="00000000" w14:paraId="00000025">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6">
            <w:pPr>
              <w:rPr>
                <w:rFonts w:ascii="Roboto" w:cs="Roboto" w:eastAsia="Roboto" w:hAnsi="Roboto"/>
              </w:rPr>
            </w:pPr>
            <w:r w:rsidDel="00000000" w:rsidR="00000000" w:rsidRPr="00000000">
              <w:rPr>
                <w:rFonts w:ascii="Roboto" w:cs="Roboto" w:eastAsia="Roboto" w:hAnsi="Roboto"/>
                <w:rtl w:val="0"/>
              </w:rPr>
              <w:t xml:space="preserve">I have some concern about the composition of the Steering Committee and how it is selected, as well as the isolation of GOOS components from the WMO ecosystem (as now identified in the reform proposal – although the reality is that there is good cooperation, especially around OCG and OceanOPS). If IOC and WMO remain as the two co-sponsors, and there is an expected pathway from GOOS into WMO governing body decisions, it is hard to imagine this working only through the Steering Committee – what status would it have to have with WMO to be able to speak directly to governing bodies of WMO? The INFCOM Management Group has GOOS as an ex officio member, should the GOOS SC have an INFCOM ex officio member? The ICG, at least the part connected to global high-seas-spanning observing networks and OceanOPS sharing data in real time, should ideally maintain strong connections into various INFCOM bodies. This reform is a moment to question how this works beyond the now-successful but fragile secretariat brokering role, with a goal of simplifying, flattening, and concentrating the cross-WMO-IOC governance in a way that delivers simply for GOOS and for WMO as a user of GOOS data. The proposal also doesn’t acknowledge that OOPC is co-sponsored by GOOS, GCOS, and WCRP – that GOOS operates in an ecosystem of coordination activities. A radical simplification might be great, but pulls the ocean away from the Earth system perspective where it is needed: for weather and early warning, and for climate.</w:t>
            </w:r>
          </w:p>
          <w:p w:rsidR="00000000" w:rsidDel="00000000" w:rsidP="00000000" w:rsidRDefault="00000000" w:rsidRPr="00000000" w14:paraId="00000027">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8">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If you don't agree with the proposal - what is the alternative? Why?</w:t>
            </w:r>
          </w:p>
          <w:p w:rsidR="00000000" w:rsidDel="00000000" w:rsidP="00000000" w:rsidRDefault="00000000" w:rsidRPr="00000000" w14:paraId="00000029">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A">
            <w:pPr>
              <w:rPr>
                <w:rFonts w:ascii="Roboto" w:cs="Roboto" w:eastAsia="Roboto" w:hAnsi="Roboto"/>
              </w:rPr>
            </w:pPr>
            <w:r w:rsidDel="00000000" w:rsidR="00000000" w:rsidRPr="00000000">
              <w:rPr>
                <w:rFonts w:ascii="Roboto" w:cs="Roboto" w:eastAsia="Roboto" w:hAnsi="Roboto"/>
                <w:rtl w:val="0"/>
              </w:rPr>
              <w:t xml:space="preserve">Identify and codify clear functional links between INFCOM and GOOS structures, particularly ICG. Consider if the JCB is needed in this context, or whether it can be rescoped to exclude Infrastructure issues (data issues may not be covered in GOOS though).</w:t>
            </w:r>
          </w:p>
          <w:p w:rsidR="00000000" w:rsidDel="00000000" w:rsidP="00000000" w:rsidRDefault="00000000" w:rsidRPr="00000000" w14:paraId="0000002B">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C">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w:t>
            </w:r>
            <w:r w:rsidDel="00000000" w:rsidR="00000000" w:rsidRPr="00000000">
              <w:rPr>
                <w:rFonts w:ascii="Roboto" w:cs="Roboto" w:eastAsia="Roboto" w:hAnsi="Roboto"/>
                <w:rtl w:val="0"/>
              </w:rPr>
              <w:t xml:space="preserve"> (including with respect to your component)</w:t>
            </w:r>
            <w:r w:rsidDel="00000000" w:rsidR="00000000" w:rsidRPr="00000000">
              <w:rPr>
                <w:rtl w:val="0"/>
              </w:rPr>
            </w:r>
          </w:p>
          <w:p w:rsidR="00000000" w:rsidDel="00000000" w:rsidP="00000000" w:rsidRDefault="00000000" w:rsidRPr="00000000" w14:paraId="0000002D">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E">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2F">
            <w:pPr>
              <w:rPr>
                <w:rFonts w:ascii="Roboto" w:cs="Roboto" w:eastAsia="Roboto" w:hAnsi="Roboto"/>
                <w:b w:val="1"/>
                <w:bCs w:val="1"/>
              </w:rPr>
            </w:pPr>
            <w:r w:rsidDel="00000000" w:rsidR="00000000" w:rsidRPr="00000000">
              <w:rPr>
                <w:rtl w:val="0"/>
              </w:rPr>
            </w:r>
          </w:p>
        </w:tc>
      </w:tr>
    </w:tbl>
    <w:p w:rsidR="00000000" w:rsidDel="00000000" w:rsidP="00000000" w:rsidRDefault="00000000" w:rsidRPr="00000000" w14:paraId="00000030">
      <w:pPr>
        <w:spacing w:line="240" w:lineRule="auto"/>
        <w:rPr>
          <w:rFonts w:ascii="Roboto" w:cs="Roboto" w:eastAsia="Roboto" w:hAnsi="Roboto"/>
          <w:sz w:val="26"/>
          <w:szCs w:val="26"/>
        </w:rPr>
      </w:pPr>
      <w:r w:rsidDel="00000000" w:rsidR="00000000" w:rsidRPr="00000000">
        <w:rPr>
          <w:rtl w:val="0"/>
        </w:rPr>
      </w:r>
    </w:p>
    <w:p w:rsidR="00000000" w:rsidDel="00000000" w:rsidP="00000000" w:rsidRDefault="00000000" w:rsidRPr="00000000" w14:paraId="00000031">
      <w:pPr>
        <w:widowControl w:val="0"/>
        <w:spacing w:line="240" w:lineRule="auto"/>
        <w:rPr>
          <w:rFonts w:ascii="Roboto" w:cs="Roboto" w:eastAsia="Roboto" w:hAnsi="Roboto"/>
          <w:sz w:val="24"/>
          <w:szCs w:val="24"/>
        </w:rPr>
      </w:pPr>
      <w:r w:rsidDel="00000000" w:rsidR="00000000" w:rsidRPr="00000000">
        <w:rPr>
          <w:rFonts w:ascii="Roboto" w:cs="Roboto" w:eastAsia="Roboto" w:hAnsi="Roboto"/>
          <w:b w:val="1"/>
          <w:bCs w:val="1"/>
          <w:sz w:val="24"/>
          <w:szCs w:val="24"/>
          <w:rtl w:val="0"/>
        </w:rPr>
        <w:t xml:space="preserve">Proposed structural change: Infrastructure Coordination Group </w:t>
      </w:r>
      <w:r w:rsidDel="00000000" w:rsidR="00000000" w:rsidRPr="00000000">
        <w:rPr>
          <w:rFonts w:ascii="Roboto" w:cs="Roboto" w:eastAsia="Roboto" w:hAnsi="Roboto"/>
          <w:sz w:val="24"/>
          <w:szCs w:val="24"/>
          <w:rtl w:val="0"/>
        </w:rPr>
        <w:t xml:space="preserve">(ICG)</w:t>
      </w:r>
    </w:p>
    <w:p w:rsidR="00000000" w:rsidDel="00000000" w:rsidP="00000000" w:rsidRDefault="00000000" w:rsidRPr="00000000" w14:paraId="00000032">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(slide 20)</w:t>
      </w:r>
      <w:r w:rsidDel="00000000" w:rsidR="00000000" w:rsidRPr="00000000">
        <w:rPr>
          <w:rtl w:val="0"/>
        </w:rPr>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33">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What are your concerns regarding the reform proposal on the ICG?</w:t>
            </w:r>
          </w:p>
          <w:p w:rsidR="00000000" w:rsidDel="00000000" w:rsidP="00000000" w:rsidRDefault="00000000" w:rsidRPr="00000000" w14:paraId="00000034">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35">
            <w:pPr>
              <w:rPr>
                <w:rFonts w:ascii="Roboto" w:cs="Roboto" w:eastAsia="Roboto" w:hAnsi="Roboto"/>
              </w:rPr>
            </w:pPr>
            <w:r w:rsidDel="00000000" w:rsidR="00000000" w:rsidRPr="00000000">
              <w:rPr>
                <w:rFonts w:ascii="Roboto" w:cs="Roboto" w:eastAsia="Roboto" w:hAnsi="Roboto"/>
                <w:rtl w:val="0"/>
              </w:rPr>
              <w:t xml:space="preserve">There is a structural difference I think between the global networks of OCG that have a global target for a specific purpose (for weather or climate usually), and the networks of best practice that are promoting a platform/technology/community. They share some aspects of building community, building shared best practice, and sometimes common data systems – but the global networks have a much easier task in connecting to the key user community, which is usually global and singular, or dual purpose (weather and climate). </w:t>
            </w:r>
          </w:p>
          <w:p w:rsidR="00000000" w:rsidDel="00000000" w:rsidP="00000000" w:rsidRDefault="00000000" w:rsidRPr="00000000" w14:paraId="00000036">
            <w:pPr>
              <w:rPr>
                <w:rFonts w:ascii="Roboto" w:cs="Roboto" w:eastAsia="Roboto" w:hAnsi="Roboto"/>
              </w:rPr>
            </w:pPr>
            <w:r w:rsidDel="00000000" w:rsidR="00000000" w:rsidRPr="00000000">
              <w:rPr>
                <w:rtl w:val="0"/>
              </w:rPr>
            </w:r>
          </w:p>
          <w:p w:rsidR="00000000" w:rsidDel="00000000" w:rsidP="00000000" w:rsidRDefault="00000000" w:rsidRPr="00000000" w14:paraId="00000037">
            <w:pPr>
              <w:rPr>
                <w:rFonts w:ascii="Roboto" w:cs="Roboto" w:eastAsia="Roboto" w:hAnsi="Roboto"/>
              </w:rPr>
            </w:pPr>
            <w:r w:rsidDel="00000000" w:rsidR="00000000" w:rsidRPr="00000000">
              <w:rPr>
                <w:rFonts w:ascii="Roboto" w:cs="Roboto" w:eastAsia="Roboto" w:hAnsi="Roboto"/>
                <w:rtl w:val="0"/>
              </w:rPr>
              <w:t xml:space="preserve">There is also a voluntary collaborative nature of a small number of Member States in many of these global networks. They are perhaps missing mechanisms to agree on requirements,  identify commitments, to measure progress and identify future risk, and fully engage users.</w:t>
            </w:r>
          </w:p>
          <w:p w:rsidR="00000000" w:rsidDel="00000000" w:rsidP="00000000" w:rsidRDefault="00000000" w:rsidRPr="00000000" w14:paraId="00000038">
            <w:pPr>
              <w:rPr>
                <w:rFonts w:ascii="Roboto" w:cs="Roboto" w:eastAsia="Roboto" w:hAnsi="Roboto"/>
              </w:rPr>
            </w:pPr>
            <w:r w:rsidDel="00000000" w:rsidR="00000000" w:rsidRPr="00000000">
              <w:rPr>
                <w:rtl w:val="0"/>
              </w:rPr>
            </w:r>
          </w:p>
          <w:p w:rsidR="00000000" w:rsidDel="00000000" w:rsidP="00000000" w:rsidRDefault="00000000" w:rsidRPr="00000000" w14:paraId="00000039">
            <w:pPr>
              <w:rPr>
                <w:rFonts w:ascii="Roboto" w:cs="Roboto" w:eastAsia="Roboto" w:hAnsi="Roboto"/>
              </w:rPr>
            </w:pPr>
            <w:r w:rsidDel="00000000" w:rsidR="00000000" w:rsidRPr="00000000">
              <w:rPr>
                <w:rFonts w:ascii="Roboto" w:cs="Roboto" w:eastAsia="Roboto" w:hAnsi="Roboto"/>
                <w:rtl w:val="0"/>
              </w:rPr>
              <w:t xml:space="preserve">Mixing fully both types of networks, with the addition of coordination of emerging biological and ecosystems networks, risks creating an ungovernably large group with a lack of clarity on its mission as it tries to serve many different types of stakeholders.</w:t>
            </w:r>
          </w:p>
          <w:p w:rsidR="00000000" w:rsidDel="00000000" w:rsidP="00000000" w:rsidRDefault="00000000" w:rsidRPr="00000000" w14:paraId="0000003A">
            <w:pPr>
              <w:rPr>
                <w:rFonts w:ascii="Roboto" w:cs="Roboto" w:eastAsia="Roboto" w:hAnsi="Roboto"/>
              </w:rPr>
            </w:pPr>
            <w:r w:rsidDel="00000000" w:rsidR="00000000" w:rsidRPr="00000000">
              <w:rPr>
                <w:rtl w:val="0"/>
              </w:rPr>
            </w:r>
          </w:p>
          <w:p w:rsidR="00000000" w:rsidDel="00000000" w:rsidP="00000000" w:rsidRDefault="00000000" w:rsidRPr="00000000" w14:paraId="0000003B">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3C">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If you don't agree with the proposal - what is the alternative? Why?</w:t>
            </w:r>
          </w:p>
          <w:p w:rsidR="00000000" w:rsidDel="00000000" w:rsidP="00000000" w:rsidRDefault="00000000" w:rsidRPr="00000000" w14:paraId="0000003D">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3E">
            <w:pPr>
              <w:rPr>
                <w:rFonts w:ascii="Roboto" w:cs="Roboto" w:eastAsia="Roboto" w:hAnsi="Roboto"/>
              </w:rPr>
            </w:pPr>
            <w:r w:rsidDel="00000000" w:rsidR="00000000" w:rsidRPr="00000000">
              <w:rPr>
                <w:rFonts w:ascii="Roboto" w:cs="Roboto" w:eastAsia="Roboto" w:hAnsi="Roboto"/>
                <w:rtl w:val="0"/>
              </w:rPr>
              <w:t xml:space="preserve">The ICG would have to be structured internally in a way that separated global networks from others while allowing for strong cross-talk and integration.</w:t>
            </w:r>
          </w:p>
          <w:p w:rsidR="00000000" w:rsidDel="00000000" w:rsidP="00000000" w:rsidRDefault="00000000" w:rsidRPr="00000000" w14:paraId="0000003F">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0">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w:t>
            </w:r>
            <w:r w:rsidDel="00000000" w:rsidR="00000000" w:rsidRPr="00000000">
              <w:rPr>
                <w:rFonts w:ascii="Roboto" w:cs="Roboto" w:eastAsia="Roboto" w:hAnsi="Roboto"/>
                <w:rtl w:val="0"/>
              </w:rPr>
              <w:t xml:space="preserve"> (including with respect to your component)</w:t>
            </w:r>
            <w:r w:rsidDel="00000000" w:rsidR="00000000" w:rsidRPr="00000000">
              <w:rPr>
                <w:rtl w:val="0"/>
              </w:rPr>
            </w:r>
          </w:p>
          <w:p w:rsidR="00000000" w:rsidDel="00000000" w:rsidP="00000000" w:rsidRDefault="00000000" w:rsidRPr="00000000" w14:paraId="00000041">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2">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3">
            <w:pPr>
              <w:rPr>
                <w:rFonts w:ascii="Roboto" w:cs="Roboto" w:eastAsia="Roboto" w:hAnsi="Roboto"/>
                <w:b w:val="1"/>
                <w:bCs w:val="1"/>
              </w:rPr>
            </w:pPr>
            <w:r w:rsidDel="00000000" w:rsidR="00000000" w:rsidRPr="00000000">
              <w:rPr>
                <w:rtl w:val="0"/>
              </w:rPr>
            </w:r>
          </w:p>
        </w:tc>
      </w:tr>
    </w:tbl>
    <w:p w:rsidR="00000000" w:rsidDel="00000000" w:rsidP="00000000" w:rsidRDefault="00000000" w:rsidRPr="00000000" w14:paraId="00000044">
      <w:pPr>
        <w:spacing w:line="240" w:lineRule="auto"/>
        <w:rPr>
          <w:rFonts w:ascii="Roboto" w:cs="Roboto" w:eastAsia="Roboto" w:hAnsi="Roboto"/>
          <w:sz w:val="26"/>
          <w:szCs w:val="26"/>
        </w:rPr>
      </w:pPr>
      <w:r w:rsidDel="00000000" w:rsidR="00000000" w:rsidRPr="00000000">
        <w:rPr>
          <w:rtl w:val="0"/>
        </w:rPr>
      </w:r>
    </w:p>
    <w:p w:rsidR="00000000" w:rsidDel="00000000" w:rsidP="00000000" w:rsidRDefault="00000000" w:rsidRPr="00000000" w14:paraId="00000045">
      <w:pPr>
        <w:widowControl w:val="0"/>
        <w:spacing w:line="240" w:lineRule="auto"/>
        <w:rPr>
          <w:rFonts w:ascii="Roboto" w:cs="Roboto" w:eastAsia="Roboto" w:hAnsi="Roboto"/>
          <w:sz w:val="24"/>
          <w:szCs w:val="24"/>
        </w:rPr>
      </w:pPr>
      <w:r w:rsidDel="00000000" w:rsidR="00000000" w:rsidRPr="00000000">
        <w:rPr>
          <w:rFonts w:ascii="Roboto" w:cs="Roboto" w:eastAsia="Roboto" w:hAnsi="Roboto"/>
          <w:b w:val="1"/>
          <w:bCs w:val="1"/>
          <w:sz w:val="24"/>
          <w:szCs w:val="24"/>
          <w:rtl w:val="0"/>
        </w:rPr>
        <w:t xml:space="preserve">Proposed structural change: NFP role and interaction model</w:t>
      </w:r>
      <w:r w:rsidDel="00000000" w:rsidR="00000000" w:rsidRPr="00000000">
        <w:rPr>
          <w:rtl w:val="0"/>
        </w:rPr>
      </w:r>
    </w:p>
    <w:p w:rsidR="00000000" w:rsidDel="00000000" w:rsidP="00000000" w:rsidRDefault="00000000" w:rsidRPr="00000000" w14:paraId="00000046">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(slide 21)</w:t>
      </w: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47">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What are your concerns regarding the reform proposal on NFP role and interaction?</w:t>
            </w:r>
          </w:p>
          <w:p w:rsidR="00000000" w:rsidDel="00000000" w:rsidP="00000000" w:rsidRDefault="00000000" w:rsidRPr="00000000" w14:paraId="00000048">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9">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A">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B">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If you don't agree with the proposal - what is the alternative? Why?</w:t>
            </w:r>
          </w:p>
          <w:p w:rsidR="00000000" w:rsidDel="00000000" w:rsidP="00000000" w:rsidRDefault="00000000" w:rsidRPr="00000000" w14:paraId="0000004C">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D">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E">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4F">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w:t>
            </w:r>
            <w:r w:rsidDel="00000000" w:rsidR="00000000" w:rsidRPr="00000000">
              <w:rPr>
                <w:rFonts w:ascii="Roboto" w:cs="Roboto" w:eastAsia="Roboto" w:hAnsi="Roboto"/>
                <w:rtl w:val="0"/>
              </w:rPr>
              <w:t xml:space="preserve"> (including with respect to your component)</w:t>
            </w:r>
            <w:r w:rsidDel="00000000" w:rsidR="00000000" w:rsidRPr="00000000">
              <w:rPr>
                <w:rtl w:val="0"/>
              </w:rPr>
            </w:r>
          </w:p>
          <w:p w:rsidR="00000000" w:rsidDel="00000000" w:rsidP="00000000" w:rsidRDefault="00000000" w:rsidRPr="00000000" w14:paraId="00000050">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1">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2">
            <w:pPr>
              <w:rPr>
                <w:rFonts w:ascii="Roboto" w:cs="Roboto" w:eastAsia="Roboto" w:hAnsi="Roboto"/>
                <w:b w:val="1"/>
                <w:bCs w:val="1"/>
              </w:rPr>
            </w:pPr>
            <w:r w:rsidDel="00000000" w:rsidR="00000000" w:rsidRPr="00000000">
              <w:rPr>
                <w:rtl w:val="0"/>
              </w:rPr>
            </w:r>
          </w:p>
        </w:tc>
      </w:tr>
    </w:tbl>
    <w:p w:rsidR="00000000" w:rsidDel="00000000" w:rsidP="00000000" w:rsidRDefault="00000000" w:rsidRPr="00000000" w14:paraId="00000053">
      <w:pPr>
        <w:widowControl w:val="0"/>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54">
      <w:pPr>
        <w:widowControl w:val="0"/>
        <w:spacing w:line="240" w:lineRule="auto"/>
        <w:rPr>
          <w:rFonts w:ascii="Roboto" w:cs="Roboto" w:eastAsia="Roboto" w:hAnsi="Roboto"/>
          <w:sz w:val="24"/>
          <w:szCs w:val="24"/>
        </w:rPr>
      </w:pPr>
      <w:r w:rsidDel="00000000" w:rsidR="00000000" w:rsidRPr="00000000">
        <w:rPr>
          <w:rFonts w:ascii="Roboto" w:cs="Roboto" w:eastAsia="Roboto" w:hAnsi="Roboto"/>
          <w:b w:val="1"/>
          <w:bCs w:val="1"/>
          <w:sz w:val="24"/>
          <w:szCs w:val="24"/>
          <w:rtl w:val="0"/>
        </w:rPr>
        <w:t xml:space="preserve">Proposed structural change: GOOS Regional Alliances </w:t>
      </w:r>
      <w:r w:rsidDel="00000000" w:rsidR="00000000" w:rsidRPr="00000000">
        <w:rPr>
          <w:rtl w:val="0"/>
        </w:rPr>
      </w:r>
    </w:p>
    <w:p w:rsidR="00000000" w:rsidDel="00000000" w:rsidP="00000000" w:rsidRDefault="00000000" w:rsidRPr="00000000" w14:paraId="00000055">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(slides 22-23)</w:t>
      </w:r>
      <w:r w:rsidDel="00000000" w:rsidR="00000000" w:rsidRPr="00000000">
        <w:rPr>
          <w:rtl w:val="0"/>
        </w:rPr>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56">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you see the future role of GRAs in GOOS?</w:t>
            </w:r>
          </w:p>
          <w:p w:rsidR="00000000" w:rsidDel="00000000" w:rsidP="00000000" w:rsidRDefault="00000000" w:rsidRPr="00000000" w14:paraId="00000057">
            <w:pPr>
              <w:widowControl w:val="0"/>
              <w:spacing w:line="240" w:lineRule="auto"/>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8">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9">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A">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B">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w:t>
            </w:r>
            <w:r w:rsidDel="00000000" w:rsidR="00000000" w:rsidRPr="00000000">
              <w:rPr>
                <w:rFonts w:ascii="Roboto" w:cs="Roboto" w:eastAsia="Roboto" w:hAnsi="Roboto"/>
                <w:rtl w:val="0"/>
              </w:rPr>
              <w:t xml:space="preserve"> (including with respect to your component)</w:t>
            </w:r>
            <w:r w:rsidDel="00000000" w:rsidR="00000000" w:rsidRPr="00000000">
              <w:rPr>
                <w:rtl w:val="0"/>
              </w:rPr>
            </w:r>
          </w:p>
          <w:p w:rsidR="00000000" w:rsidDel="00000000" w:rsidP="00000000" w:rsidRDefault="00000000" w:rsidRPr="00000000" w14:paraId="0000005C">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D">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5E">
            <w:pPr>
              <w:rPr>
                <w:rFonts w:ascii="Roboto" w:cs="Roboto" w:eastAsia="Roboto" w:hAnsi="Roboto"/>
                <w:b w:val="1"/>
                <w:bCs w:val="1"/>
              </w:rPr>
            </w:pPr>
            <w:r w:rsidDel="00000000" w:rsidR="00000000" w:rsidRPr="00000000">
              <w:rPr>
                <w:rtl w:val="0"/>
              </w:rPr>
            </w:r>
          </w:p>
        </w:tc>
      </w:tr>
    </w:tbl>
    <w:p w:rsidR="00000000" w:rsidDel="00000000" w:rsidP="00000000" w:rsidRDefault="00000000" w:rsidRPr="00000000" w14:paraId="0000005F">
      <w:pPr>
        <w:spacing w:line="240" w:lineRule="auto"/>
        <w:rPr>
          <w:rFonts w:ascii="Roboto" w:cs="Roboto" w:eastAsia="Roboto" w:hAnsi="Roboto"/>
          <w:sz w:val="26"/>
          <w:szCs w:val="26"/>
        </w:rPr>
      </w:pPr>
      <w:r w:rsidDel="00000000" w:rsidR="00000000" w:rsidRPr="00000000">
        <w:rPr>
          <w:rtl w:val="0"/>
        </w:rPr>
      </w:r>
    </w:p>
    <w:p w:rsidR="00000000" w:rsidDel="00000000" w:rsidP="00000000" w:rsidRDefault="00000000" w:rsidRPr="00000000" w14:paraId="00000060">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Governance</w:t>
      </w:r>
    </w:p>
    <w:p w:rsidR="00000000" w:rsidDel="00000000" w:rsidP="00000000" w:rsidRDefault="00000000" w:rsidRPr="00000000" w14:paraId="00000061">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(slides 27 - 33)</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What are your concerns regarding the proposed governance?</w:t>
            </w:r>
          </w:p>
          <w:p w:rsidR="00000000" w:rsidDel="00000000" w:rsidP="00000000" w:rsidRDefault="00000000" w:rsidRPr="00000000" w14:paraId="00000063">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64">
            <w:pPr>
              <w:rPr>
                <w:rFonts w:ascii="Roboto" w:cs="Roboto" w:eastAsia="Roboto" w:hAnsi="Roboto"/>
              </w:rPr>
            </w:pPr>
            <w:r w:rsidDel="00000000" w:rsidR="00000000" w:rsidRPr="00000000">
              <w:rPr>
                <w:rFonts w:ascii="Roboto" w:cs="Roboto" w:eastAsia="Roboto" w:hAnsi="Roboto"/>
                <w:rtl w:val="0"/>
              </w:rPr>
              <w:t xml:space="preserve">As stated above, the WMO and INFCOM should somehow be engaged in the cross-component level, and not only the Steering Committee level.</w:t>
            </w:r>
          </w:p>
          <w:p w:rsidR="00000000" w:rsidDel="00000000" w:rsidP="00000000" w:rsidRDefault="00000000" w:rsidRPr="00000000" w14:paraId="00000065">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66">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If you don't agree with the proposal - what is the alternative? Why?</w:t>
            </w:r>
          </w:p>
          <w:p w:rsidR="00000000" w:rsidDel="00000000" w:rsidP="00000000" w:rsidRDefault="00000000" w:rsidRPr="00000000" w14:paraId="00000067">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68">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69">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6A">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w:t>
            </w:r>
            <w:r w:rsidDel="00000000" w:rsidR="00000000" w:rsidRPr="00000000">
              <w:rPr>
                <w:rFonts w:ascii="Roboto" w:cs="Roboto" w:eastAsia="Roboto" w:hAnsi="Roboto"/>
                <w:rtl w:val="0"/>
              </w:rPr>
              <w:t xml:space="preserve"> (including with respect to your component)</w:t>
            </w:r>
            <w:r w:rsidDel="00000000" w:rsidR="00000000" w:rsidRPr="00000000">
              <w:rPr>
                <w:rtl w:val="0"/>
              </w:rPr>
            </w:r>
          </w:p>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D">
            <w:pPr>
              <w:widowControl w:val="0"/>
              <w:spacing w:line="240" w:lineRule="auto"/>
              <w:rPr>
                <w:rFonts w:ascii="Roboto" w:cs="Roboto" w:eastAsia="Roboto" w:hAnsi="Roboto"/>
              </w:rPr>
            </w:pPr>
            <w:r w:rsidDel="00000000" w:rsidR="00000000" w:rsidRPr="00000000">
              <w:rPr>
                <w:rtl w:val="0"/>
              </w:rPr>
            </w:r>
          </w:p>
        </w:tc>
      </w:tr>
    </w:tbl>
    <w:p w:rsidR="00000000" w:rsidDel="00000000" w:rsidP="00000000" w:rsidRDefault="00000000" w:rsidRPr="00000000" w14:paraId="0000006E">
      <w:pPr>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6F">
      <w:pPr>
        <w:widowControl w:val="0"/>
        <w:spacing w:line="24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Draft Implementation Plan </w:t>
      </w:r>
    </w:p>
    <w:p w:rsidR="00000000" w:rsidDel="00000000" w:rsidP="00000000" w:rsidRDefault="00000000" w:rsidRPr="00000000" w14:paraId="00000070">
      <w:pPr>
        <w:widowControl w:val="0"/>
        <w:spacing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(slides 34 - 36)</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f2f7ff" w:val="clear"/>
            <w:tcMar>
              <w:top w:w="100.0" w:type="dxa"/>
              <w:left w:w="100.0" w:type="dxa"/>
              <w:bottom w:w="100.0" w:type="dxa"/>
              <w:right w:w="100.0" w:type="dxa"/>
            </w:tcMar>
          </w:tcPr>
          <w:p w:rsidR="00000000" w:rsidDel="00000000" w:rsidP="00000000" w:rsidRDefault="00000000" w:rsidRPr="00000000" w14:paraId="00000071">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What are your concerns regarding the proposed implementation plan?</w:t>
            </w:r>
          </w:p>
          <w:p w:rsidR="00000000" w:rsidDel="00000000" w:rsidP="00000000" w:rsidRDefault="00000000" w:rsidRPr="00000000" w14:paraId="00000072">
            <w:pPr>
              <w:rPr>
                <w:rFonts w:ascii="Roboto" w:cs="Roboto" w:eastAsia="Roboto" w:hAnsi="Roboto"/>
              </w:rPr>
            </w:pPr>
            <w:r w:rsidDel="00000000" w:rsidR="00000000" w:rsidRPr="00000000">
              <w:rPr>
                <w:rFonts w:ascii="Roboto" w:cs="Roboto" w:eastAsia="Roboto" w:hAnsi="Roboto"/>
                <w:rtl w:val="0"/>
              </w:rPr>
              <w:t xml:space="preserve">The timelines of WMO governing body meetings are not properly represented.</w:t>
            </w:r>
          </w:p>
          <w:p w:rsidR="00000000" w:rsidDel="00000000" w:rsidP="00000000" w:rsidRDefault="00000000" w:rsidRPr="00000000" w14:paraId="00000073">
            <w:pPr>
              <w:rPr>
                <w:rFonts w:ascii="Roboto" w:cs="Roboto" w:eastAsia="Roboto" w:hAnsi="Roboto"/>
              </w:rPr>
            </w:pPr>
            <w:r w:rsidDel="00000000" w:rsidR="00000000" w:rsidRPr="00000000">
              <w:rPr>
                <w:rtl w:val="0"/>
              </w:rPr>
            </w:r>
          </w:p>
          <w:p w:rsidR="00000000" w:rsidDel="00000000" w:rsidP="00000000" w:rsidRDefault="00000000" w:rsidRPr="00000000" w14:paraId="00000074">
            <w:pPr>
              <w:rPr>
                <w:rFonts w:ascii="Roboto" w:cs="Roboto" w:eastAsia="Roboto" w:hAnsi="Roboto"/>
              </w:rPr>
            </w:pPr>
            <w:r w:rsidDel="00000000" w:rsidR="00000000" w:rsidRPr="00000000">
              <w:rPr>
                <w:rFonts w:ascii="Roboto" w:cs="Roboto" w:eastAsia="Roboto" w:hAnsi="Roboto"/>
                <w:rtl w:val="0"/>
              </w:rPr>
              <w:t xml:space="preserve">EC-80 is in June 2026 and will consider the outcomes of this GOOS SC meeting, and set up 20</w:t>
            </w:r>
            <w:r w:rsidDel="00000000" w:rsidR="00000000" w:rsidRPr="00000000">
              <w:rPr>
                <w:rFonts w:ascii="Roboto" w:cs="Roboto" w:eastAsia="Roboto" w:hAnsi="Roboto"/>
                <w:vertAlign w:val="superscript"/>
                <w:rtl w:val="0"/>
              </w:rPr>
              <w:t xml:space="preserve">th</w:t>
            </w:r>
            <w:r w:rsidDel="00000000" w:rsidR="00000000" w:rsidRPr="00000000">
              <w:rPr>
                <w:rFonts w:ascii="Roboto" w:cs="Roboto" w:eastAsia="Roboto" w:hAnsi="Roboto"/>
                <w:rtl w:val="0"/>
              </w:rPr>
              <w:t xml:space="preserve"> World Meteorological Congress in May 2027 (Cg-20) to receive the finalized reform proposal and adopt it. The path to get there goes through EC-81 in late January 2027 which has to recommend a resolution to Cg-20. EC-82 will take place shortly after Cg-20, perhaps in June 2027. The operative instrument of the reform that would codify the new co-sponsoring agreement would be a Memorandum of Understanding, which Cg-20 could task the Secretariat with finalizing and signing.</w:t>
            </w:r>
          </w:p>
          <w:p w:rsidR="00000000" w:rsidDel="00000000" w:rsidP="00000000" w:rsidRDefault="00000000" w:rsidRPr="00000000" w14:paraId="00000075">
            <w:pPr>
              <w:rPr>
                <w:rFonts w:ascii="Roboto" w:cs="Roboto" w:eastAsia="Roboto" w:hAnsi="Roboto"/>
              </w:rPr>
            </w:pPr>
            <w:r w:rsidDel="00000000" w:rsidR="00000000" w:rsidRPr="00000000">
              <w:rPr>
                <w:rtl w:val="0"/>
              </w:rPr>
            </w:r>
          </w:p>
          <w:p w:rsidR="00000000" w:rsidDel="00000000" w:rsidP="00000000" w:rsidRDefault="00000000" w:rsidRPr="00000000" w14:paraId="00000076">
            <w:pPr>
              <w:rPr>
                <w:rFonts w:ascii="Roboto" w:cs="Roboto" w:eastAsia="Roboto" w:hAnsi="Roboto"/>
              </w:rPr>
            </w:pPr>
            <w:r w:rsidDel="00000000" w:rsidR="00000000" w:rsidRPr="00000000">
              <w:rPr>
                <w:rFonts w:ascii="Roboto" w:cs="Roboto" w:eastAsia="Roboto" w:hAnsi="Roboto"/>
                <w:rtl w:val="0"/>
              </w:rPr>
              <w:t xml:space="preserve">But this also means that the reform is not adopted until June 2027 on both sides (IOC and WMO), so it seems premature to make changes before that date; or they have to be couched and communicated carefully.</w:t>
            </w:r>
          </w:p>
          <w:p w:rsidR="00000000" w:rsidDel="00000000" w:rsidP="00000000" w:rsidRDefault="00000000" w:rsidRPr="00000000" w14:paraId="00000077">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78">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If you don't agree with the proposal - what is the alternative? Why?</w:t>
            </w:r>
          </w:p>
          <w:p w:rsidR="00000000" w:rsidDel="00000000" w:rsidP="00000000" w:rsidRDefault="00000000" w:rsidRPr="00000000" w14:paraId="00000079">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7A">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7B">
            <w:pPr>
              <w:rPr>
                <w:rFonts w:ascii="Roboto" w:cs="Roboto" w:eastAsia="Roboto" w:hAnsi="Roboto"/>
                <w:b w:val="1"/>
                <w:bCs w:val="1"/>
              </w:rPr>
            </w:pPr>
            <w:r w:rsidDel="00000000" w:rsidR="00000000" w:rsidRPr="00000000">
              <w:rPr>
                <w:rtl w:val="0"/>
              </w:rPr>
            </w:r>
          </w:p>
          <w:p w:rsidR="00000000" w:rsidDel="00000000" w:rsidP="00000000" w:rsidRDefault="00000000" w:rsidRPr="00000000" w14:paraId="0000007C">
            <w:pPr>
              <w:widowControl w:val="0"/>
              <w:spacing w:line="240" w:lineRule="auto"/>
              <w:rPr>
                <w:rFonts w:ascii="Roboto" w:cs="Roboto" w:eastAsia="Roboto" w:hAnsi="Roboto"/>
                <w:b w:val="1"/>
                <w:bCs w:val="1"/>
              </w:rPr>
            </w:pPr>
            <w:r w:rsidDel="00000000" w:rsidR="00000000" w:rsidRPr="00000000">
              <w:rPr>
                <w:rFonts w:ascii="Roboto" w:cs="Roboto" w:eastAsia="Roboto" w:hAnsi="Roboto"/>
                <w:b w:val="1"/>
                <w:bCs w:val="1"/>
                <w:rtl w:val="0"/>
              </w:rPr>
              <w:t xml:space="preserve">How do we make it work? What does the implementation look like?</w:t>
            </w:r>
            <w:r w:rsidDel="00000000" w:rsidR="00000000" w:rsidRPr="00000000">
              <w:rPr>
                <w:rFonts w:ascii="Roboto" w:cs="Roboto" w:eastAsia="Roboto" w:hAnsi="Roboto"/>
                <w:rtl w:val="0"/>
              </w:rPr>
              <w:t xml:space="preserve"> (including with respect to your component)</w:t>
            </w:r>
            <w:r w:rsidDel="00000000" w:rsidR="00000000" w:rsidRPr="00000000">
              <w:rPr>
                <w:rtl w:val="0"/>
              </w:rPr>
            </w:r>
          </w:p>
          <w:p w:rsidR="00000000" w:rsidDel="00000000" w:rsidP="00000000" w:rsidRDefault="00000000" w:rsidRPr="00000000" w14:paraId="0000007D">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7E">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7F">
            <w:pPr>
              <w:widowControl w:val="0"/>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80">
            <w:pPr>
              <w:widowControl w:val="0"/>
              <w:spacing w:line="240" w:lineRule="auto"/>
              <w:rPr>
                <w:rFonts w:ascii="Roboto" w:cs="Roboto" w:eastAsia="Roboto" w:hAnsi="Roboto"/>
              </w:rPr>
            </w:pPr>
            <w:r w:rsidDel="00000000" w:rsidR="00000000" w:rsidRPr="00000000">
              <w:rPr>
                <w:rtl w:val="0"/>
              </w:rPr>
            </w:r>
          </w:p>
        </w:tc>
      </w:tr>
    </w:tbl>
    <w:p w:rsidR="00000000" w:rsidDel="00000000" w:rsidP="00000000" w:rsidRDefault="00000000" w:rsidRPr="00000000" w14:paraId="00000081">
      <w:pPr>
        <w:spacing w:line="24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82">
      <w:pPr>
        <w:spacing w:line="240" w:lineRule="auto"/>
        <w:rPr>
          <w:rFonts w:ascii="Roboto" w:cs="Roboto" w:eastAsia="Roboto" w:hAnsi="Roboto"/>
          <w:color w:val="666666"/>
          <w:highlight w:val="yellow"/>
        </w:rPr>
      </w:pPr>
      <w:r w:rsidDel="00000000" w:rsidR="00000000" w:rsidRPr="00000000">
        <w:rPr>
          <w:rFonts w:ascii="Roboto" w:cs="Roboto" w:eastAsia="Roboto" w:hAnsi="Roboto"/>
          <w:b w:val="1"/>
          <w:bCs w:val="1"/>
          <w:sz w:val="24"/>
          <w:szCs w:val="24"/>
          <w:rtl w:val="0"/>
        </w:rPr>
        <w:t xml:space="preserve">Any additional considerations for the GOOS SC on GOOS reform?</w:t>
      </w:r>
      <w:r w:rsidDel="00000000" w:rsidR="00000000" w:rsidRPr="00000000">
        <w:rPr>
          <w:rtl w:val="0"/>
        </w:rPr>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425" w:hRule="atLeast"/>
          <w:tblHeader w:val="0"/>
        </w:trPr>
        <w:tc>
          <w:tcPr>
            <w:shd w:fill="f2f7ff" w:val="clear"/>
            <w:tcMar>
              <w:top w:w="100.0" w:type="dxa"/>
              <w:left w:w="100.0" w:type="dxa"/>
              <w:bottom w:w="100.0" w:type="dxa"/>
              <w:right w:w="100.0" w:type="dxa"/>
            </w:tcMar>
          </w:tcPr>
          <w:p w:rsidR="00000000" w:rsidDel="00000000" w:rsidP="00000000" w:rsidRDefault="00000000" w:rsidRPr="00000000" w14:paraId="00000083">
            <w:pPr>
              <w:widowControl w:val="0"/>
              <w:spacing w:line="240" w:lineRule="auto"/>
              <w:rPr>
                <w:rFonts w:ascii="Roboto" w:cs="Roboto" w:eastAsia="Roboto" w:hAnsi="Roboto"/>
              </w:rPr>
            </w:pPr>
            <w:r w:rsidDel="00000000" w:rsidR="00000000" w:rsidRPr="00000000">
              <w:rPr>
                <w:rFonts w:ascii="Roboto" w:cs="Roboto" w:eastAsia="Roboto" w:hAnsi="Roboto"/>
                <w:rtl w:val="0"/>
              </w:rPr>
              <w:t xml:space="preserve">The GOOS Secretariat only identifies IOC staff with the exception of the OOPC officer, I think it appropriate to identify Champika, Mathieu and the OceanOPS team as part of GOOS, even as they contribute also to WIGOS.</w:t>
            </w:r>
          </w:p>
        </w:tc>
      </w:tr>
    </w:tbl>
    <w:p w:rsidR="00000000" w:rsidDel="00000000" w:rsidP="00000000" w:rsidRDefault="00000000" w:rsidRPr="00000000" w14:paraId="00000084">
      <w:pPr>
        <w:spacing w:line="240" w:lineRule="auto"/>
        <w:rPr>
          <w:rFonts w:ascii="Roboto" w:cs="Roboto" w:eastAsia="Roboto" w:hAnsi="Roboto"/>
        </w:rPr>
      </w:pPr>
      <w:r w:rsidDel="00000000" w:rsidR="00000000" w:rsidRPr="00000000">
        <w:rPr>
          <w:rtl w:val="0"/>
        </w:rPr>
      </w:r>
    </w:p>
    <w:p w:rsidR="00000000" w:rsidDel="00000000" w:rsidP="00000000" w:rsidRDefault="00000000" w:rsidRPr="00000000" w14:paraId="00000085">
      <w:pPr>
        <w:spacing w:after="120" w:line="240" w:lineRule="auto"/>
        <w:rPr>
          <w:rFonts w:ascii="Roboto" w:cs="Roboto" w:eastAsia="Roboto" w:hAnsi="Roboto"/>
          <w:color w:val="666666"/>
          <w:sz w:val="24"/>
          <w:szCs w:val="24"/>
        </w:rPr>
      </w:pPr>
      <w:r w:rsidDel="00000000" w:rsidR="00000000" w:rsidRPr="00000000">
        <w:rPr>
          <w:rtl w:val="0"/>
        </w:rPr>
      </w:r>
    </w:p>
    <w:sectPr>
      <w:headerReference r:id="rId9" w:type="default"/>
      <w:footerReference r:id="rId10"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680"/>
        <w:tab w:val="right" w:leader="none" w:pos="9360"/>
      </w:tabs>
      <w:spacing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6">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wp:posOffset>
          </wp:positionH>
          <wp:positionV relativeFrom="paragraph">
            <wp:posOffset>-342897</wp:posOffset>
          </wp:positionV>
          <wp:extent cx="986790" cy="706334"/>
          <wp:effectExtent b="0" l="0" r="0" t="0"/>
          <wp:wrapNone/>
          <wp:docPr id="32849022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86790" cy="706334"/>
                  </a:xfrm>
                  <a:prstGeom prst="rect"/>
                  <a:ln/>
                </pic:spPr>
              </pic:pic>
            </a:graphicData>
          </a:graphic>
        </wp:anchor>
      </w:drawing>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color w:val="666666"/>
        <w:sz w:val="18"/>
        <w:szCs w:val="18"/>
      </w:rPr>
    </w:pPr>
    <w:r w:rsidDel="00000000" w:rsidR="00000000" w:rsidRPr="00000000">
      <w:rPr>
        <w:color w:val="666666"/>
        <w:sz w:val="18"/>
        <w:szCs w:val="18"/>
        <w:rtl w:val="0"/>
      </w:rPr>
      <w:t xml:space="preserve">15th GOOS Steering Committee meeting (SC-15) | 25-27 March, INCOIS, India</w:t>
    </w:r>
  </w:p>
  <w:p w:rsidR="00000000" w:rsidDel="00000000" w:rsidP="00000000" w:rsidRDefault="00000000" w:rsidRPr="00000000" w14:paraId="00000089">
    <w:pPr>
      <w:rPr>
        <w:b w:val="1"/>
        <w:bCs w:val="1"/>
        <w:color w:val="666666"/>
        <w:sz w:val="18"/>
        <w:szCs w:val="18"/>
      </w:rPr>
    </w:pPr>
    <w:r w:rsidDel="00000000" w:rsidR="00000000" w:rsidRPr="00000000">
      <w:rPr>
        <w:b w:val="1"/>
        <w:bCs w:val="1"/>
        <w:color w:val="666666"/>
        <w:sz w:val="18"/>
        <w:szCs w:val="18"/>
        <w:rtl w:val="0"/>
      </w:rPr>
      <w:t xml:space="preserve">Considerations for GOOS reform - SC15 Background paper</w:t>
    </w:r>
  </w:p>
  <w:p w:rsidR="00000000" w:rsidDel="00000000" w:rsidP="00000000" w:rsidRDefault="00000000" w:rsidRPr="00000000" w14:paraId="0000008A">
    <w:pPr>
      <w:rPr>
        <w:b w:val="1"/>
        <w:bCs w:val="1"/>
        <w:color w:val="666666"/>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7C0840"/>
    <w:pPr>
      <w:spacing w:after="160" w:line="259" w:lineRule="auto"/>
      <w:ind w:left="720"/>
      <w:contextualSpacing w:val="1"/>
    </w:pPr>
    <w:rPr>
      <w:rFonts w:asciiTheme="minorHAnsi" w:cstheme="minorBidi" w:eastAsiaTheme="minorHAnsi" w:hAnsiTheme="minorHAnsi"/>
      <w:kern w:val="2"/>
      <w:lang w:val="en-US"/>
    </w:rPr>
  </w:style>
  <w:style w:type="character" w:styleId="Hyperlink">
    <w:name w:val="Hyperlink"/>
    <w:basedOn w:val="DefaultParagraphFont"/>
    <w:uiPriority w:val="99"/>
    <w:unhideWhenUsed w:val="1"/>
    <w:rsid w:val="007C0840"/>
    <w:rPr>
      <w:color w:val="0000ff"/>
      <w:u w:val="single"/>
    </w:rPr>
  </w:style>
  <w:style w:type="paragraph" w:styleId="Revision">
    <w:name w:val="Revision"/>
    <w:hidden w:val="1"/>
    <w:uiPriority w:val="99"/>
    <w:semiHidden w:val="1"/>
    <w:rsid w:val="00BD1FB6"/>
    <w:pPr>
      <w:spacing w:line="240" w:lineRule="auto"/>
    </w:pPr>
  </w:style>
  <w:style w:type="character" w:styleId="CommentReference">
    <w:name w:val="annotation reference"/>
    <w:basedOn w:val="DefaultParagraphFont"/>
    <w:uiPriority w:val="99"/>
    <w:semiHidden w:val="1"/>
    <w:unhideWhenUsed w:val="1"/>
    <w:rsid w:val="00BD1FB6"/>
    <w:rPr>
      <w:sz w:val="16"/>
      <w:szCs w:val="16"/>
    </w:rPr>
  </w:style>
  <w:style w:type="paragraph" w:styleId="CommentText">
    <w:name w:val="annotation text"/>
    <w:basedOn w:val="Normal"/>
    <w:link w:val="CommentTextChar"/>
    <w:uiPriority w:val="99"/>
    <w:unhideWhenUsed w:val="1"/>
    <w:rsid w:val="00BD1FB6"/>
    <w:pPr>
      <w:spacing w:line="240" w:lineRule="auto"/>
    </w:pPr>
    <w:rPr>
      <w:sz w:val="20"/>
      <w:szCs w:val="20"/>
    </w:rPr>
  </w:style>
  <w:style w:type="character" w:styleId="CommentTextChar" w:customStyle="1">
    <w:name w:val="Comment Text Char"/>
    <w:basedOn w:val="DefaultParagraphFont"/>
    <w:link w:val="CommentText"/>
    <w:uiPriority w:val="99"/>
    <w:rsid w:val="00BD1FB6"/>
    <w:rPr>
      <w:sz w:val="20"/>
      <w:szCs w:val="20"/>
    </w:rPr>
  </w:style>
  <w:style w:type="paragraph" w:styleId="CommentSubject">
    <w:name w:val="annotation subject"/>
    <w:basedOn w:val="CommentText"/>
    <w:next w:val="CommentText"/>
    <w:link w:val="CommentSubjectChar"/>
    <w:uiPriority w:val="99"/>
    <w:semiHidden w:val="1"/>
    <w:unhideWhenUsed w:val="1"/>
    <w:rsid w:val="00BD1FB6"/>
    <w:rPr>
      <w:b w:val="1"/>
      <w:bCs w:val="1"/>
    </w:rPr>
  </w:style>
  <w:style w:type="character" w:styleId="CommentSubjectChar" w:customStyle="1">
    <w:name w:val="Comment Subject Char"/>
    <w:basedOn w:val="CommentTextChar"/>
    <w:link w:val="CommentSubject"/>
    <w:uiPriority w:val="99"/>
    <w:semiHidden w:val="1"/>
    <w:rsid w:val="00BD1FB6"/>
    <w:rPr>
      <w:b w:val="1"/>
      <w:bCs w:val="1"/>
      <w:sz w:val="20"/>
      <w:szCs w:val="20"/>
    </w:rPr>
  </w:style>
  <w:style w:type="character" w:styleId="UnresolvedMention">
    <w:name w:val="Unresolved Mention"/>
    <w:basedOn w:val="DefaultParagraphFont"/>
    <w:uiPriority w:val="99"/>
    <w:semiHidden w:val="1"/>
    <w:unhideWhenUsed w:val="1"/>
    <w:rsid w:val="00BD1FB6"/>
    <w:rPr>
      <w:color w:val="605e5c"/>
      <w:shd w:color="auto" w:fill="e1dfdd" w:val="clear"/>
    </w:rPr>
  </w:style>
  <w:style w:type="paragraph" w:styleId="Header">
    <w:name w:val="header"/>
    <w:basedOn w:val="Normal"/>
    <w:link w:val="HeaderChar"/>
    <w:uiPriority w:val="99"/>
    <w:unhideWhenUsed w:val="1"/>
    <w:rsid w:val="006C7B1A"/>
    <w:pPr>
      <w:tabs>
        <w:tab w:val="center" w:pos="4680"/>
        <w:tab w:val="right" w:pos="9360"/>
      </w:tabs>
      <w:spacing w:line="240" w:lineRule="auto"/>
    </w:pPr>
  </w:style>
  <w:style w:type="character" w:styleId="HeaderChar" w:customStyle="1">
    <w:name w:val="Header Char"/>
    <w:basedOn w:val="DefaultParagraphFont"/>
    <w:link w:val="Header"/>
    <w:uiPriority w:val="99"/>
    <w:rsid w:val="006C7B1A"/>
  </w:style>
  <w:style w:type="paragraph" w:styleId="Footer">
    <w:name w:val="footer"/>
    <w:basedOn w:val="Normal"/>
    <w:link w:val="FooterChar"/>
    <w:uiPriority w:val="99"/>
    <w:unhideWhenUsed w:val="1"/>
    <w:rsid w:val="006C7B1A"/>
    <w:pPr>
      <w:tabs>
        <w:tab w:val="center" w:pos="4680"/>
        <w:tab w:val="right" w:pos="9360"/>
      </w:tabs>
      <w:spacing w:line="240" w:lineRule="auto"/>
    </w:pPr>
  </w:style>
  <w:style w:type="character" w:styleId="FooterChar" w:customStyle="1">
    <w:name w:val="Footer Char"/>
    <w:basedOn w:val="DefaultParagraphFont"/>
    <w:link w:val="Footer"/>
    <w:uiPriority w:val="99"/>
    <w:rsid w:val="006C7B1A"/>
  </w:style>
  <w:style w:type="table" w:styleId="a7" w:customStyle="1">
    <w:basedOn w:val="TableNormal"/>
    <w:tblPr>
      <w:tblStyleRowBandSize w:val="1"/>
      <w:tblStyleColBandSize w:val="1"/>
    </w:tblPr>
  </w:style>
  <w:style w:type="table" w:styleId="a8" w:customStyle="1">
    <w:basedOn w:val="TableNormal"/>
    <w:tblPr>
      <w:tblStyleRowBandSize w:val="1"/>
      <w:tblStyleColBandSize w:val="1"/>
    </w:tblPr>
  </w:style>
  <w:style w:type="table" w:styleId="a9" w:customStyle="1">
    <w:basedOn w:val="TableNormal"/>
    <w:tblPr>
      <w:tblStyleRowBandSize w:val="1"/>
      <w:tblStyleColBandSize w:val="1"/>
    </w:tblPr>
  </w:style>
  <w:style w:type="table" w:styleId="aa" w:customStyle="1">
    <w:basedOn w:val="TableNormal"/>
    <w:tblPr>
      <w:tblStyleRowBandSize w:val="1"/>
      <w:tblStyleColBandSize w:val="1"/>
    </w:tblPr>
  </w:style>
  <w:style w:type="table" w:styleId="ab" w:customStyle="1">
    <w:basedOn w:val="TableNormal"/>
    <w:tblPr>
      <w:tblStyleRowBandSize w:val="1"/>
      <w:tblStyleColBandSize w:val="1"/>
    </w:tblPr>
  </w:style>
  <w:style w:type="table" w:styleId="ac" w:customStyle="1">
    <w:basedOn w:val="TableNormal"/>
    <w:tblPr>
      <w:tblStyleRowBandSize w:val="1"/>
      <w:tblStyleColBandSize w:val="1"/>
    </w:tblPr>
  </w:style>
  <w:style w:type="table" w:styleId="ad" w:customStyle="1">
    <w:basedOn w:val="TableNormal"/>
    <w:tblPr>
      <w:tblStyleRowBandSize w:val="1"/>
      <w:tblStyleColBandSize w:val="1"/>
    </w:tblPr>
  </w:style>
  <w:style w:type="table" w:styleId="ae" w:customStyle="1">
    <w:basedOn w:val="TableNormal"/>
    <w:tblPr>
      <w:tblStyleRowBandSize w:val="1"/>
      <w:tblStyleColBandSize w:val="1"/>
    </w:tblPr>
  </w:style>
  <w:style w:type="table" w:styleId="af" w:customStyle="1">
    <w:basedOn w:val="TableNormal"/>
    <w:tblPr>
      <w:tblStyleRowBandSize w:val="1"/>
      <w:tblStyleColBandSize w:val="1"/>
    </w:tblPr>
  </w:style>
  <w:style w:type="table" w:styleId="af0" w:customStyle="1">
    <w:basedOn w:val="TableNormal"/>
    <w:tblPr>
      <w:tblStyleRowBandSize w:val="1"/>
      <w:tblStyleColBandSize w:val="1"/>
    </w:tblPr>
  </w:style>
  <w:style w:type="table" w:styleId="af1" w:customStyle="1">
    <w:basedOn w:val="TableNormal"/>
    <w:tblPr>
      <w:tblStyleRowBandSize w:val="1"/>
      <w:tblStyleColBandSize w:val="1"/>
    </w:tblPr>
  </w:style>
  <w:style w:type="table" w:styleId="af2" w:customStyle="1">
    <w:basedOn w:val="TableNormal"/>
    <w:tblPr>
      <w:tblStyleRowBandSize w:val="1"/>
      <w:tblStyleColBandSize w:val="1"/>
    </w:tblPr>
  </w:style>
  <w:style w:type="table" w:styleId="af3" w:customStyle="1">
    <w:basedOn w:val="TableNormal"/>
    <w:tblPr>
      <w:tblStyleRowBandSize w:val="1"/>
      <w:tblStyleColBandSize w:val="1"/>
    </w:tblPr>
  </w:style>
  <w:style w:type="table" w:styleId="af4" w:customStyle="1">
    <w:basedOn w:val="TableNormal"/>
    <w:tblPr>
      <w:tblStyleRowBandSize w:val="1"/>
      <w:tblStyleColBandSize w:val="1"/>
    </w:tblPr>
  </w:style>
  <w:style w:type="table" w:styleId="af5" w:customStyle="1">
    <w:basedOn w:val="TableNormal"/>
    <w:tblPr>
      <w:tblStyleRowBandSize w:val="1"/>
      <w:tblStyleColBandSize w:val="1"/>
    </w:tblPr>
  </w:style>
  <w:style w:type="table" w:styleId="af6" w:customStyle="1">
    <w:basedOn w:val="TableNormal"/>
    <w:tblPr>
      <w:tblStyleRowBandSize w:val="1"/>
      <w:tblStyleColBandSize w:val="1"/>
    </w:tblPr>
  </w:style>
  <w:style w:type="table" w:styleId="af7" w:customStyle="1">
    <w:basedOn w:val="TableNormal"/>
    <w:tblPr>
      <w:tblStyleRowBandSize w:val="1"/>
      <w:tblStyleColBandSize w:val="1"/>
    </w:tblPr>
  </w:style>
  <w:style w:type="table" w:styleId="af8" w:customStyle="1">
    <w:basedOn w:val="TableNormal"/>
    <w:tblPr>
      <w:tblStyleRowBandSize w:val="1"/>
      <w:tblStyleColBandSize w:val="1"/>
    </w:tblPr>
  </w:style>
  <w:style w:type="table" w:styleId="af9" w:customStyle="1">
    <w:basedOn w:val="TableNormal"/>
    <w:tblPr>
      <w:tblStyleRowBandSize w:val="1"/>
      <w:tblStyleColBandSize w:val="1"/>
    </w:tblPr>
  </w:style>
  <w:style w:type="table" w:styleId="afa" w:customStyle="1">
    <w:basedOn w:val="TableNormal"/>
    <w:tblPr>
      <w:tblStyleRowBandSize w:val="1"/>
      <w:tblStyleColBandSize w:val="1"/>
    </w:tblPr>
  </w:style>
  <w:style w:type="table" w:styleId="afb" w:customStyle="1">
    <w:basedOn w:val="TableNormal"/>
    <w:tblPr>
      <w:tblStyleRowBandSize w:val="1"/>
      <w:tblStyleColBandSize w:val="1"/>
    </w:tblPr>
  </w:style>
  <w:style w:type="table" w:styleId="afc" w:customStyle="1">
    <w:basedOn w:val="TableNormal"/>
    <w:tblPr>
      <w:tblStyleRowBandSize w:val="1"/>
      <w:tblStyleColBandSize w:val="1"/>
    </w:tblPr>
  </w:style>
  <w:style w:type="table" w:styleId="afd" w:customStyle="1">
    <w:basedOn w:val="TableNormal"/>
    <w:tblPr>
      <w:tblStyleRowBandSize w:val="1"/>
      <w:tblStyleColBandSize w:val="1"/>
    </w:tblPr>
  </w:style>
  <w:style w:type="table" w:styleId="afe" w:customStyle="1">
    <w:basedOn w:val="TableNormal"/>
    <w:tblPr>
      <w:tblStyleRowBandSize w:val="1"/>
      <w:tblStyleColBandSize w:val="1"/>
    </w:tblPr>
  </w:style>
  <w:style w:type="table" w:styleId="aff" w:customStyle="1">
    <w:basedOn w:val="TableNormal"/>
    <w:tblPr>
      <w:tblStyleRowBandSize w:val="1"/>
      <w:tblStyleColBandSize w:val="1"/>
    </w:tblPr>
  </w:style>
  <w:style w:type="table" w:styleId="aff0" w:customStyle="1">
    <w:basedOn w:val="TableNormal"/>
    <w:tblPr>
      <w:tblStyleRowBandSize w:val="1"/>
      <w:tblStyleColBandSize w:val="1"/>
    </w:tblPr>
  </w:style>
  <w:style w:type="table" w:styleId="aff1" w:customStyle="1">
    <w:basedOn w:val="TableNormal"/>
    <w:tblPr>
      <w:tblStyleRowBandSize w:val="1"/>
      <w:tblStyleColBandSize w:val="1"/>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oceanexpert.org/document/37899"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sjiRbgrIpEGeYPJbC6OzrKWLkw==">CgMxLjA4AHIhMU5HanpNQ2JRNmlqU1BKX3dSQVhZMGpQdEdXMkZEa095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2026-03-24T12:21:00Z</dcterms:created>
  <dc:creator>Enrique Alvarez</dc:creator>
</cp:coreProperties>
</file>